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240"/>
        <w:tblW w:w="0" w:type="auto"/>
        <w:tblLook w:val="04A0" w:firstRow="1" w:lastRow="0" w:firstColumn="1" w:lastColumn="0" w:noHBand="0" w:noVBand="1"/>
      </w:tblPr>
      <w:tblGrid>
        <w:gridCol w:w="1579"/>
        <w:gridCol w:w="2457"/>
        <w:gridCol w:w="1900"/>
        <w:gridCol w:w="1579"/>
        <w:gridCol w:w="1579"/>
      </w:tblGrid>
      <w:tr w:rsidR="007026E1" w14:paraId="292150C5" w14:textId="77777777" w:rsidTr="00A75391">
        <w:trPr>
          <w:trHeight w:val="350"/>
        </w:trPr>
        <w:tc>
          <w:tcPr>
            <w:tcW w:w="4036" w:type="dxa"/>
            <w:gridSpan w:val="2"/>
            <w:shd w:val="clear" w:color="auto" w:fill="003A96"/>
            <w:vAlign w:val="center"/>
          </w:tcPr>
          <w:p w14:paraId="6B7BED52" w14:textId="6C174F02" w:rsidR="007026E1" w:rsidRDefault="007026E1" w:rsidP="00C46DB4">
            <w:r w:rsidRPr="00031A07">
              <w:rPr>
                <w:b/>
                <w:bCs/>
                <w:color w:val="FFFFFF" w:themeColor="background1"/>
                <w:sz w:val="17"/>
                <w:szCs w:val="17"/>
              </w:rPr>
              <w:t>Topic</w:t>
            </w:r>
          </w:p>
        </w:tc>
        <w:tc>
          <w:tcPr>
            <w:tcW w:w="1900" w:type="dxa"/>
            <w:shd w:val="clear" w:color="auto" w:fill="003A96"/>
            <w:vAlign w:val="center"/>
          </w:tcPr>
          <w:p w14:paraId="0C4C4DF1" w14:textId="63FC71E9" w:rsidR="007026E1" w:rsidRPr="00CB5BEC" w:rsidRDefault="007026E1" w:rsidP="00C46DB4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Requirement</w:t>
            </w:r>
          </w:p>
        </w:tc>
        <w:tc>
          <w:tcPr>
            <w:tcW w:w="1579" w:type="dxa"/>
            <w:shd w:val="clear" w:color="auto" w:fill="003A96"/>
          </w:tcPr>
          <w:p w14:paraId="1839FBB8" w14:textId="671B122C" w:rsidR="007026E1" w:rsidRPr="00CB5BEC" w:rsidRDefault="007026E1" w:rsidP="007026E1">
            <w:pPr>
              <w:tabs>
                <w:tab w:val="left" w:pos="181"/>
              </w:tabs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Frequency of Requirement</w:t>
            </w:r>
          </w:p>
        </w:tc>
        <w:tc>
          <w:tcPr>
            <w:tcW w:w="1579" w:type="dxa"/>
            <w:shd w:val="clear" w:color="auto" w:fill="003A96"/>
            <w:vAlign w:val="center"/>
          </w:tcPr>
          <w:p w14:paraId="6656C06F" w14:textId="1E7561E9" w:rsidR="007026E1" w:rsidRPr="00CB5BEC" w:rsidRDefault="007026E1" w:rsidP="007026E1">
            <w:pPr>
              <w:tabs>
                <w:tab w:val="left" w:pos="181"/>
              </w:tabs>
              <w:jc w:val="center"/>
              <w:rPr>
                <w:b/>
                <w:bCs/>
                <w:sz w:val="17"/>
                <w:szCs w:val="17"/>
              </w:rPr>
            </w:pPr>
            <w:r w:rsidRPr="00CB5BEC">
              <w:rPr>
                <w:b/>
                <w:bCs/>
                <w:sz w:val="17"/>
                <w:szCs w:val="17"/>
              </w:rPr>
              <w:t>Completed?</w:t>
            </w:r>
          </w:p>
        </w:tc>
      </w:tr>
      <w:tr w:rsidR="007026E1" w14:paraId="3CB2AD76" w14:textId="77777777" w:rsidTr="00A75391">
        <w:tc>
          <w:tcPr>
            <w:tcW w:w="4036" w:type="dxa"/>
            <w:gridSpan w:val="2"/>
            <w:vAlign w:val="center"/>
          </w:tcPr>
          <w:p w14:paraId="7E24655D" w14:textId="553EF67D" w:rsidR="007026E1" w:rsidRDefault="007026E1" w:rsidP="00C46DB4">
            <w:r w:rsidRPr="00031A07">
              <w:rPr>
                <w:b/>
                <w:bCs/>
                <w:sz w:val="17"/>
                <w:szCs w:val="17"/>
              </w:rPr>
              <w:t>Alzheimer's Disease and Related Dementias</w:t>
            </w:r>
            <w:r w:rsidRPr="00031A07">
              <w:rPr>
                <w:sz w:val="17"/>
                <w:szCs w:val="17"/>
              </w:rPr>
              <w:t xml:space="preserve"> </w:t>
            </w:r>
            <w:r w:rsidRPr="00031A07">
              <w:rPr>
                <w:sz w:val="17"/>
                <w:szCs w:val="17"/>
              </w:rPr>
              <w:br/>
            </w:r>
            <w:r w:rsidRPr="00031A07">
              <w:rPr>
                <w:i/>
                <w:iCs/>
                <w:sz w:val="17"/>
                <w:szCs w:val="17"/>
              </w:rPr>
              <w:t>not credit specific but any credits may be applied towards Category 1 or 2</w:t>
            </w:r>
          </w:p>
        </w:tc>
        <w:tc>
          <w:tcPr>
            <w:tcW w:w="1900" w:type="dxa"/>
            <w:vAlign w:val="center"/>
          </w:tcPr>
          <w:p w14:paraId="55518BC8" w14:textId="3CE5F396" w:rsidR="007026E1" w:rsidRDefault="007026E1" w:rsidP="00C46DB4">
            <w:pPr>
              <w:jc w:val="center"/>
            </w:pPr>
            <w:r w:rsidRPr="00031A07">
              <w:rPr>
                <w:sz w:val="17"/>
                <w:szCs w:val="17"/>
              </w:rPr>
              <w:t>REQUIRED ONLY if serving adult populations and not completed previously</w:t>
            </w:r>
          </w:p>
        </w:tc>
        <w:tc>
          <w:tcPr>
            <w:tcW w:w="1579" w:type="dxa"/>
          </w:tcPr>
          <w:p w14:paraId="3561FEBC" w14:textId="77777777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</w:p>
          <w:p w14:paraId="0ACE69A8" w14:textId="4E0B6CAE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time requirement</w:t>
            </w:r>
          </w:p>
        </w:tc>
        <w:tc>
          <w:tcPr>
            <w:tcW w:w="1579" w:type="dxa"/>
            <w:vAlign w:val="center"/>
          </w:tcPr>
          <w:p w14:paraId="346C602F" w14:textId="037A6DAE" w:rsidR="007026E1" w:rsidRDefault="007026E1" w:rsidP="007026E1">
            <w:pPr>
              <w:tabs>
                <w:tab w:val="left" w:pos="181"/>
              </w:tabs>
              <w:jc w:val="center"/>
            </w:pPr>
            <w:sdt>
              <w:sdtPr>
                <w:rPr>
                  <w:rFonts w:ascii="Calibri" w:hAnsi="Calibri" w:cs="Calibri"/>
                </w:rPr>
                <w:id w:val="-120138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026E1" w14:paraId="0319E53F" w14:textId="77777777" w:rsidTr="00A75391">
        <w:tc>
          <w:tcPr>
            <w:tcW w:w="4036" w:type="dxa"/>
            <w:gridSpan w:val="2"/>
            <w:vAlign w:val="center"/>
          </w:tcPr>
          <w:p w14:paraId="2DB55F29" w14:textId="6B82FD23" w:rsidR="007026E1" w:rsidRDefault="007026E1" w:rsidP="00C46DB4">
            <w:r w:rsidRPr="00031A07">
              <w:rPr>
                <w:b/>
                <w:bCs/>
                <w:sz w:val="17"/>
                <w:szCs w:val="17"/>
              </w:rPr>
              <w:t>Recognizing and Reporting Suspected Child Abuse</w:t>
            </w:r>
            <w:r w:rsidRPr="00031A07">
              <w:rPr>
                <w:b/>
                <w:bCs/>
                <w:sz w:val="17"/>
                <w:szCs w:val="17"/>
              </w:rPr>
              <w:br/>
            </w:r>
            <w:r w:rsidRPr="00031A07">
              <w:rPr>
                <w:i/>
                <w:iCs/>
                <w:sz w:val="17"/>
                <w:szCs w:val="17"/>
              </w:rPr>
              <w:t>not credit specific but any credits may be applied towards Category 1 or 2</w:t>
            </w:r>
          </w:p>
        </w:tc>
        <w:tc>
          <w:tcPr>
            <w:tcW w:w="1900" w:type="dxa"/>
            <w:vAlign w:val="center"/>
          </w:tcPr>
          <w:p w14:paraId="221072D3" w14:textId="5CBE8334" w:rsidR="007026E1" w:rsidRDefault="007026E1" w:rsidP="00C46DB4">
            <w:pPr>
              <w:jc w:val="center"/>
            </w:pPr>
            <w:r w:rsidRPr="00031A07">
              <w:rPr>
                <w:sz w:val="17"/>
                <w:szCs w:val="17"/>
              </w:rPr>
              <w:t>REQUIRED ONLY if not completed previously</w:t>
            </w:r>
          </w:p>
        </w:tc>
        <w:tc>
          <w:tcPr>
            <w:tcW w:w="1579" w:type="dxa"/>
          </w:tcPr>
          <w:p w14:paraId="4D67A185" w14:textId="30CAEEC8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time requirement</w:t>
            </w:r>
          </w:p>
        </w:tc>
        <w:tc>
          <w:tcPr>
            <w:tcW w:w="1579" w:type="dxa"/>
            <w:vAlign w:val="center"/>
          </w:tcPr>
          <w:p w14:paraId="6C11D4B4" w14:textId="2BB80369" w:rsidR="007026E1" w:rsidRDefault="007026E1" w:rsidP="007026E1">
            <w:pPr>
              <w:tabs>
                <w:tab w:val="left" w:pos="181"/>
              </w:tabs>
              <w:jc w:val="center"/>
            </w:pPr>
            <w:sdt>
              <w:sdtPr>
                <w:rPr>
                  <w:rFonts w:ascii="Calibri" w:hAnsi="Calibri" w:cs="Calibri"/>
                </w:rPr>
                <w:id w:val="-4462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026E1" w14:paraId="7C6E2D91" w14:textId="77777777" w:rsidTr="00A75391">
        <w:tc>
          <w:tcPr>
            <w:tcW w:w="4036" w:type="dxa"/>
            <w:gridSpan w:val="2"/>
            <w:vAlign w:val="center"/>
          </w:tcPr>
          <w:p w14:paraId="137C4C13" w14:textId="1B361EDA" w:rsidR="007026E1" w:rsidRDefault="007026E1" w:rsidP="00C46DB4">
            <w:r w:rsidRPr="00031A07">
              <w:rPr>
                <w:b/>
                <w:bCs/>
                <w:sz w:val="17"/>
                <w:szCs w:val="17"/>
              </w:rPr>
              <w:t>Domestic Violence and Sexual Violence Training</w:t>
            </w:r>
            <w:r w:rsidRPr="00031A07">
              <w:rPr>
                <w:sz w:val="17"/>
                <w:szCs w:val="17"/>
              </w:rPr>
              <w:br/>
            </w:r>
            <w:r w:rsidRPr="00031A07">
              <w:rPr>
                <w:i/>
                <w:iCs/>
                <w:sz w:val="17"/>
                <w:szCs w:val="17"/>
              </w:rPr>
              <w:t>not credit specific but any credits may be applied towards Category 1 or 2</w:t>
            </w:r>
          </w:p>
        </w:tc>
        <w:tc>
          <w:tcPr>
            <w:tcW w:w="1900" w:type="dxa"/>
            <w:vAlign w:val="center"/>
          </w:tcPr>
          <w:p w14:paraId="227F327F" w14:textId="13BC4732" w:rsidR="007026E1" w:rsidRDefault="007026E1" w:rsidP="00C46DB4">
            <w:pPr>
              <w:jc w:val="center"/>
            </w:pPr>
            <w:r w:rsidRPr="00031A07">
              <w:rPr>
                <w:sz w:val="17"/>
                <w:szCs w:val="17"/>
              </w:rPr>
              <w:t>REQUIRED ONLY if not completed previously</w:t>
            </w:r>
          </w:p>
        </w:tc>
        <w:tc>
          <w:tcPr>
            <w:tcW w:w="1579" w:type="dxa"/>
          </w:tcPr>
          <w:p w14:paraId="3AE02176" w14:textId="0E79150F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time requirement</w:t>
            </w:r>
          </w:p>
        </w:tc>
        <w:tc>
          <w:tcPr>
            <w:tcW w:w="1579" w:type="dxa"/>
            <w:vAlign w:val="center"/>
          </w:tcPr>
          <w:p w14:paraId="04C10875" w14:textId="1BAC4502" w:rsidR="007026E1" w:rsidRDefault="007026E1" w:rsidP="007026E1">
            <w:pPr>
              <w:tabs>
                <w:tab w:val="left" w:pos="181"/>
              </w:tabs>
              <w:jc w:val="center"/>
            </w:pPr>
            <w:sdt>
              <w:sdtPr>
                <w:rPr>
                  <w:rFonts w:ascii="Calibri" w:hAnsi="Calibri" w:cs="Calibri"/>
                </w:rPr>
                <w:id w:val="15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026E1" w14:paraId="38922EA1" w14:textId="77777777" w:rsidTr="007026E1">
        <w:trPr>
          <w:trHeight w:val="698"/>
        </w:trPr>
        <w:tc>
          <w:tcPr>
            <w:tcW w:w="4036" w:type="dxa"/>
            <w:gridSpan w:val="2"/>
            <w:vAlign w:val="center"/>
          </w:tcPr>
          <w:p w14:paraId="29D7154E" w14:textId="064A63D8" w:rsidR="007026E1" w:rsidRDefault="007026E1" w:rsidP="00C46DB4">
            <w:r w:rsidRPr="00031A07">
              <w:rPr>
                <w:b/>
                <w:bCs/>
                <w:sz w:val="17"/>
                <w:szCs w:val="17"/>
              </w:rPr>
              <w:t>Proficiency in Electronic Health Records</w:t>
            </w:r>
            <w:r w:rsidRPr="00031A07">
              <w:rPr>
                <w:b/>
                <w:bCs/>
                <w:sz w:val="17"/>
                <w:szCs w:val="17"/>
                <w:vertAlign w:val="superscript"/>
              </w:rPr>
              <w:t>3</w:t>
            </w:r>
            <w:r w:rsidRPr="00031A07">
              <w:rPr>
                <w:sz w:val="17"/>
                <w:szCs w:val="17"/>
              </w:rPr>
              <w:t xml:space="preserve"> </w:t>
            </w:r>
            <w:r w:rsidRPr="00031A07">
              <w:rPr>
                <w:sz w:val="17"/>
                <w:szCs w:val="17"/>
              </w:rPr>
              <w:br/>
            </w:r>
            <w:r w:rsidRPr="00031A07">
              <w:rPr>
                <w:i/>
                <w:iCs/>
                <w:sz w:val="17"/>
                <w:szCs w:val="17"/>
              </w:rPr>
              <w:t>3 credits which may be applied towards Risk Management or Category 1 or 2</w:t>
            </w:r>
          </w:p>
        </w:tc>
        <w:tc>
          <w:tcPr>
            <w:tcW w:w="1900" w:type="dxa"/>
            <w:vAlign w:val="center"/>
          </w:tcPr>
          <w:p w14:paraId="3B590E1A" w14:textId="390412D2" w:rsidR="007026E1" w:rsidRDefault="007026E1" w:rsidP="00C46DB4">
            <w:pPr>
              <w:jc w:val="center"/>
            </w:pPr>
            <w:r w:rsidRPr="00031A07">
              <w:rPr>
                <w:sz w:val="17"/>
                <w:szCs w:val="17"/>
              </w:rPr>
              <w:t>REQUIRED ONLY if practicing medicine and not completed previously</w:t>
            </w:r>
          </w:p>
        </w:tc>
        <w:tc>
          <w:tcPr>
            <w:tcW w:w="1579" w:type="dxa"/>
          </w:tcPr>
          <w:p w14:paraId="4128F4C5" w14:textId="77777777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</w:p>
          <w:p w14:paraId="4FF134FA" w14:textId="5F50F91F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time requirement</w:t>
            </w:r>
          </w:p>
        </w:tc>
        <w:tc>
          <w:tcPr>
            <w:tcW w:w="1579" w:type="dxa"/>
            <w:vAlign w:val="center"/>
          </w:tcPr>
          <w:p w14:paraId="627EE132" w14:textId="43708D80" w:rsidR="007026E1" w:rsidRDefault="007026E1" w:rsidP="007026E1">
            <w:pPr>
              <w:tabs>
                <w:tab w:val="left" w:pos="181"/>
              </w:tabs>
              <w:jc w:val="center"/>
            </w:pPr>
            <w:sdt>
              <w:sdtPr>
                <w:rPr>
                  <w:rFonts w:ascii="Calibri" w:hAnsi="Calibri" w:cs="Calibri"/>
                </w:rPr>
                <w:id w:val="-125752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026E1" w14:paraId="298A93B6" w14:textId="77777777" w:rsidTr="00A75391">
        <w:tc>
          <w:tcPr>
            <w:tcW w:w="4036" w:type="dxa"/>
            <w:gridSpan w:val="2"/>
            <w:vAlign w:val="center"/>
          </w:tcPr>
          <w:p w14:paraId="5B13ACCE" w14:textId="6EE5165B" w:rsidR="007026E1" w:rsidRDefault="007026E1" w:rsidP="00C46DB4">
            <w:r w:rsidRPr="00031A07">
              <w:rPr>
                <w:b/>
                <w:bCs/>
                <w:sz w:val="17"/>
                <w:szCs w:val="17"/>
              </w:rPr>
              <w:t>End of Life Care</w:t>
            </w:r>
            <w:r w:rsidRPr="00031A07">
              <w:rPr>
                <w:sz w:val="17"/>
                <w:szCs w:val="17"/>
              </w:rPr>
              <w:t xml:space="preserve"> </w:t>
            </w:r>
            <w:r w:rsidRPr="00031A07">
              <w:rPr>
                <w:sz w:val="17"/>
                <w:szCs w:val="17"/>
              </w:rPr>
              <w:br/>
            </w:r>
            <w:r w:rsidRPr="00031A07">
              <w:rPr>
                <w:i/>
                <w:iCs/>
                <w:sz w:val="17"/>
                <w:szCs w:val="17"/>
              </w:rPr>
              <w:t>2 credits which may be applied towards Risk Management or Category 1 or 2</w:t>
            </w:r>
          </w:p>
        </w:tc>
        <w:tc>
          <w:tcPr>
            <w:tcW w:w="1900" w:type="dxa"/>
            <w:vAlign w:val="center"/>
          </w:tcPr>
          <w:p w14:paraId="1CD93E45" w14:textId="6C52CAF8" w:rsidR="007026E1" w:rsidRDefault="007026E1" w:rsidP="00C46DB4">
            <w:pPr>
              <w:jc w:val="center"/>
            </w:pPr>
            <w:r w:rsidRPr="00031A07">
              <w:rPr>
                <w:sz w:val="17"/>
                <w:szCs w:val="17"/>
              </w:rPr>
              <w:t>REQUIRED ONLY if not completed previously</w:t>
            </w:r>
          </w:p>
        </w:tc>
        <w:tc>
          <w:tcPr>
            <w:tcW w:w="1579" w:type="dxa"/>
          </w:tcPr>
          <w:p w14:paraId="1704D53A" w14:textId="53C2CF3D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time requirement</w:t>
            </w:r>
          </w:p>
        </w:tc>
        <w:tc>
          <w:tcPr>
            <w:tcW w:w="1579" w:type="dxa"/>
            <w:vAlign w:val="center"/>
          </w:tcPr>
          <w:p w14:paraId="553691F7" w14:textId="738A2D9D" w:rsidR="007026E1" w:rsidRDefault="007026E1" w:rsidP="007026E1">
            <w:pPr>
              <w:tabs>
                <w:tab w:val="left" w:pos="181"/>
              </w:tabs>
              <w:jc w:val="center"/>
            </w:pPr>
            <w:sdt>
              <w:sdtPr>
                <w:rPr>
                  <w:rFonts w:ascii="Calibri" w:hAnsi="Calibri" w:cs="Calibri"/>
                </w:rPr>
                <w:id w:val="211177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026E1" w14:paraId="2AA1FCFC" w14:textId="77777777" w:rsidTr="00A75391">
        <w:tc>
          <w:tcPr>
            <w:tcW w:w="4036" w:type="dxa"/>
            <w:gridSpan w:val="2"/>
            <w:vAlign w:val="center"/>
          </w:tcPr>
          <w:p w14:paraId="0B19355F" w14:textId="4385E110" w:rsidR="007026E1" w:rsidRPr="00031A07" w:rsidRDefault="007026E1" w:rsidP="007026E1">
            <w:pPr>
              <w:rPr>
                <w:b/>
                <w:bCs/>
                <w:sz w:val="17"/>
                <w:szCs w:val="17"/>
              </w:rPr>
            </w:pPr>
            <w:r w:rsidRPr="00031A07">
              <w:rPr>
                <w:b/>
                <w:bCs/>
                <w:sz w:val="17"/>
                <w:szCs w:val="17"/>
              </w:rPr>
              <w:t>Implicit Bias Training (required for applications received on or after 6/1/2022)</w:t>
            </w:r>
            <w:r w:rsidRPr="00031A07">
              <w:rPr>
                <w:sz w:val="17"/>
                <w:szCs w:val="17"/>
              </w:rPr>
              <w:t xml:space="preserve"> </w:t>
            </w:r>
            <w:r w:rsidRPr="00031A07">
              <w:rPr>
                <w:sz w:val="17"/>
                <w:szCs w:val="17"/>
              </w:rPr>
              <w:br/>
            </w:r>
            <w:r w:rsidRPr="00031A07">
              <w:rPr>
                <w:i/>
                <w:iCs/>
                <w:sz w:val="17"/>
                <w:szCs w:val="17"/>
              </w:rPr>
              <w:t>2 credits which apply towards Risk Management</w:t>
            </w:r>
          </w:p>
        </w:tc>
        <w:tc>
          <w:tcPr>
            <w:tcW w:w="1900" w:type="dxa"/>
            <w:vAlign w:val="center"/>
          </w:tcPr>
          <w:p w14:paraId="61212CB7" w14:textId="0217F11E" w:rsidR="007026E1" w:rsidRPr="00031A07" w:rsidRDefault="007026E1" w:rsidP="007026E1">
            <w:pPr>
              <w:jc w:val="center"/>
              <w:rPr>
                <w:sz w:val="17"/>
                <w:szCs w:val="17"/>
              </w:rPr>
            </w:pPr>
            <w:r w:rsidRPr="00031A07">
              <w:rPr>
                <w:sz w:val="17"/>
                <w:szCs w:val="17"/>
              </w:rPr>
              <w:t>REQUIRED ONLY if not completed previously</w:t>
            </w:r>
          </w:p>
        </w:tc>
        <w:tc>
          <w:tcPr>
            <w:tcW w:w="1579" w:type="dxa"/>
          </w:tcPr>
          <w:p w14:paraId="50BD52F4" w14:textId="6B89B841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time requirement</w:t>
            </w:r>
          </w:p>
        </w:tc>
        <w:tc>
          <w:tcPr>
            <w:tcW w:w="1579" w:type="dxa"/>
            <w:vAlign w:val="center"/>
          </w:tcPr>
          <w:p w14:paraId="0A2438C1" w14:textId="13A1AD83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8752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026E1" w14:paraId="3C16D0E9" w14:textId="77777777" w:rsidTr="00A75391">
        <w:tc>
          <w:tcPr>
            <w:tcW w:w="4036" w:type="dxa"/>
            <w:gridSpan w:val="2"/>
            <w:vAlign w:val="center"/>
          </w:tcPr>
          <w:p w14:paraId="445184EF" w14:textId="6597866F" w:rsidR="007026E1" w:rsidRDefault="007026E1" w:rsidP="007026E1">
            <w:r w:rsidRPr="00031A07">
              <w:rPr>
                <w:b/>
                <w:bCs/>
                <w:sz w:val="17"/>
                <w:szCs w:val="17"/>
              </w:rPr>
              <w:t>Opioid Education and Pain Management</w:t>
            </w:r>
            <w:r w:rsidRPr="00031A07">
              <w:rPr>
                <w:sz w:val="17"/>
                <w:szCs w:val="17"/>
              </w:rPr>
              <w:br/>
            </w:r>
            <w:r w:rsidRPr="00031A07">
              <w:rPr>
                <w:i/>
                <w:iCs/>
                <w:sz w:val="17"/>
                <w:szCs w:val="17"/>
              </w:rPr>
              <w:t>3 credits which may be applied towards Risk Management or Category 1 or 2</w:t>
            </w:r>
          </w:p>
        </w:tc>
        <w:tc>
          <w:tcPr>
            <w:tcW w:w="1900" w:type="dxa"/>
            <w:vAlign w:val="center"/>
          </w:tcPr>
          <w:p w14:paraId="06659A2C" w14:textId="3F416D47" w:rsidR="007026E1" w:rsidRDefault="007026E1" w:rsidP="007026E1">
            <w:pPr>
              <w:jc w:val="center"/>
            </w:pPr>
            <w:r w:rsidRPr="00031A07">
              <w:rPr>
                <w:sz w:val="17"/>
                <w:szCs w:val="17"/>
              </w:rPr>
              <w:t>REQUIRED IF PRESCRIBING</w:t>
            </w:r>
          </w:p>
        </w:tc>
        <w:tc>
          <w:tcPr>
            <w:tcW w:w="1579" w:type="dxa"/>
          </w:tcPr>
          <w:p w14:paraId="2E49D7D8" w14:textId="4EBE875E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Every two years if prescribing</w:t>
            </w:r>
          </w:p>
        </w:tc>
        <w:tc>
          <w:tcPr>
            <w:tcW w:w="1579" w:type="dxa"/>
            <w:vAlign w:val="center"/>
          </w:tcPr>
          <w:p w14:paraId="02D83931" w14:textId="2F74C8D8" w:rsidR="007026E1" w:rsidRDefault="007026E1" w:rsidP="007026E1">
            <w:pPr>
              <w:tabs>
                <w:tab w:val="left" w:pos="181"/>
              </w:tabs>
              <w:jc w:val="center"/>
            </w:pPr>
            <w:sdt>
              <w:sdtPr>
                <w:rPr>
                  <w:rFonts w:ascii="Calibri" w:hAnsi="Calibri" w:cs="Calibri"/>
                </w:rPr>
                <w:id w:val="179787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026E1" w14:paraId="288F9A04" w14:textId="77777777" w:rsidTr="00A75391">
        <w:tc>
          <w:tcPr>
            <w:tcW w:w="4036" w:type="dxa"/>
            <w:gridSpan w:val="2"/>
            <w:vAlign w:val="center"/>
          </w:tcPr>
          <w:p w14:paraId="525958C2" w14:textId="010D4764" w:rsidR="007026E1" w:rsidRDefault="007026E1" w:rsidP="007026E1">
            <w:r w:rsidRPr="00031A07">
              <w:rPr>
                <w:b/>
                <w:bCs/>
                <w:sz w:val="17"/>
                <w:szCs w:val="17"/>
              </w:rPr>
              <w:t>Risk Management</w:t>
            </w:r>
            <w:r w:rsidRPr="00031A07">
              <w:rPr>
                <w:b/>
                <w:bCs/>
                <w:sz w:val="17"/>
                <w:szCs w:val="17"/>
                <w:vertAlign w:val="superscript"/>
              </w:rPr>
              <w:t>4</w:t>
            </w:r>
            <w:r w:rsidRPr="00031A07">
              <w:rPr>
                <w:sz w:val="17"/>
                <w:szCs w:val="17"/>
              </w:rPr>
              <w:br/>
            </w:r>
            <w:r w:rsidRPr="00031A07">
              <w:rPr>
                <w:i/>
                <w:iCs/>
                <w:sz w:val="17"/>
                <w:szCs w:val="17"/>
              </w:rPr>
              <w:t>see columns for number of credits, which may be applied towards Category 1 or 2</w:t>
            </w:r>
          </w:p>
        </w:tc>
        <w:tc>
          <w:tcPr>
            <w:tcW w:w="1900" w:type="dxa"/>
            <w:vAlign w:val="center"/>
          </w:tcPr>
          <w:p w14:paraId="48AEDA5A" w14:textId="4C0A06E6" w:rsidR="007026E1" w:rsidRDefault="007026E1" w:rsidP="007026E1">
            <w:pPr>
              <w:jc w:val="center"/>
            </w:pPr>
            <w:r w:rsidRPr="00031A07">
              <w:rPr>
                <w:sz w:val="17"/>
                <w:szCs w:val="17"/>
              </w:rPr>
              <w:t>10 CREDITS</w:t>
            </w:r>
          </w:p>
        </w:tc>
        <w:tc>
          <w:tcPr>
            <w:tcW w:w="1579" w:type="dxa"/>
          </w:tcPr>
          <w:p w14:paraId="714C4041" w14:textId="0F84A242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Every two years</w:t>
            </w:r>
          </w:p>
        </w:tc>
        <w:tc>
          <w:tcPr>
            <w:tcW w:w="1579" w:type="dxa"/>
            <w:vAlign w:val="center"/>
          </w:tcPr>
          <w:p w14:paraId="76FB7A4C" w14:textId="61EA36FC" w:rsidR="007026E1" w:rsidRDefault="007026E1" w:rsidP="007026E1">
            <w:pPr>
              <w:tabs>
                <w:tab w:val="left" w:pos="181"/>
              </w:tabs>
              <w:jc w:val="center"/>
            </w:pPr>
            <w:sdt>
              <w:sdtPr>
                <w:rPr>
                  <w:rFonts w:ascii="Calibri" w:hAnsi="Calibri" w:cs="Calibri"/>
                </w:rPr>
                <w:id w:val="46471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026E1" w14:paraId="09DFBD4D" w14:textId="77777777" w:rsidTr="00A75391">
        <w:tc>
          <w:tcPr>
            <w:tcW w:w="4036" w:type="dxa"/>
            <w:gridSpan w:val="2"/>
            <w:vAlign w:val="center"/>
          </w:tcPr>
          <w:p w14:paraId="391D9D01" w14:textId="775FCB0B" w:rsidR="007026E1" w:rsidRPr="00031A07" w:rsidRDefault="007026E1" w:rsidP="007026E1">
            <w:pPr>
              <w:rPr>
                <w:b/>
                <w:bCs/>
                <w:sz w:val="17"/>
                <w:szCs w:val="17"/>
              </w:rPr>
            </w:pPr>
            <w:r w:rsidRPr="00031A07">
              <w:rPr>
                <w:b/>
                <w:bCs/>
                <w:sz w:val="17"/>
                <w:szCs w:val="17"/>
              </w:rPr>
              <w:t>Reading the Board Regulations at 243 CMR 1.00, 2.00 &amp; 3.00</w:t>
            </w:r>
            <w:r>
              <w:rPr>
                <w:b/>
                <w:bCs/>
                <w:sz w:val="17"/>
                <w:szCs w:val="17"/>
              </w:rPr>
              <w:br/>
            </w:r>
            <w:r w:rsidRPr="00031A07">
              <w:rPr>
                <w:i/>
                <w:iCs/>
                <w:sz w:val="17"/>
                <w:szCs w:val="17"/>
              </w:rPr>
              <w:t>counts as 2 credits which may be applied towards Risk Management or Category 1 or 2</w:t>
            </w:r>
          </w:p>
        </w:tc>
        <w:tc>
          <w:tcPr>
            <w:tcW w:w="1900" w:type="dxa"/>
            <w:vAlign w:val="center"/>
          </w:tcPr>
          <w:p w14:paraId="401D0FA5" w14:textId="13910F08" w:rsidR="007026E1" w:rsidRDefault="007026E1" w:rsidP="007026E1">
            <w:pPr>
              <w:jc w:val="center"/>
            </w:pPr>
            <w:r w:rsidRPr="00031A07">
              <w:rPr>
                <w:sz w:val="17"/>
                <w:szCs w:val="17"/>
              </w:rPr>
              <w:t>REQUIRED</w:t>
            </w:r>
          </w:p>
        </w:tc>
        <w:tc>
          <w:tcPr>
            <w:tcW w:w="1579" w:type="dxa"/>
          </w:tcPr>
          <w:p w14:paraId="7B483115" w14:textId="77777777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</w:p>
          <w:p w14:paraId="4E72B866" w14:textId="1E353BEA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Every two years</w:t>
            </w:r>
          </w:p>
        </w:tc>
        <w:tc>
          <w:tcPr>
            <w:tcW w:w="1579" w:type="dxa"/>
            <w:vAlign w:val="center"/>
          </w:tcPr>
          <w:p w14:paraId="35EE1671" w14:textId="080BF997" w:rsidR="007026E1" w:rsidRDefault="007026E1" w:rsidP="007026E1">
            <w:pPr>
              <w:tabs>
                <w:tab w:val="left" w:pos="181"/>
              </w:tabs>
              <w:jc w:val="center"/>
            </w:pPr>
            <w:sdt>
              <w:sdtPr>
                <w:rPr>
                  <w:rFonts w:ascii="Calibri" w:hAnsi="Calibri" w:cs="Calibri"/>
                </w:rPr>
                <w:id w:val="30328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026E1" w14:paraId="0541EC68" w14:textId="77777777" w:rsidTr="00A75391">
        <w:trPr>
          <w:trHeight w:val="341"/>
        </w:trPr>
        <w:tc>
          <w:tcPr>
            <w:tcW w:w="4036" w:type="dxa"/>
            <w:gridSpan w:val="2"/>
            <w:vAlign w:val="center"/>
          </w:tcPr>
          <w:p w14:paraId="29E6533E" w14:textId="30FD643A" w:rsidR="007026E1" w:rsidRPr="00031A07" w:rsidRDefault="007026E1" w:rsidP="007026E1">
            <w:pPr>
              <w:rPr>
                <w:b/>
                <w:bCs/>
                <w:sz w:val="17"/>
                <w:szCs w:val="17"/>
              </w:rPr>
            </w:pPr>
            <w:r w:rsidRPr="00031A07">
              <w:rPr>
                <w:b/>
                <w:bCs/>
                <w:sz w:val="17"/>
                <w:szCs w:val="17"/>
              </w:rPr>
              <w:t>Category 1 or 2</w:t>
            </w:r>
            <w:r w:rsidRPr="00031A07">
              <w:rPr>
                <w:b/>
                <w:bCs/>
                <w:sz w:val="17"/>
                <w:szCs w:val="17"/>
                <w:vertAlign w:val="superscript"/>
              </w:rPr>
              <w:t>5</w:t>
            </w:r>
          </w:p>
        </w:tc>
        <w:tc>
          <w:tcPr>
            <w:tcW w:w="1900" w:type="dxa"/>
            <w:vAlign w:val="center"/>
          </w:tcPr>
          <w:p w14:paraId="0414400D" w14:textId="3EFA722F" w:rsidR="007026E1" w:rsidRDefault="007026E1" w:rsidP="007026E1">
            <w:pPr>
              <w:jc w:val="center"/>
            </w:pPr>
            <w:r w:rsidRPr="00031A07">
              <w:rPr>
                <w:sz w:val="17"/>
                <w:szCs w:val="17"/>
              </w:rPr>
              <w:t>50 CREDITS</w:t>
            </w:r>
          </w:p>
        </w:tc>
        <w:tc>
          <w:tcPr>
            <w:tcW w:w="1579" w:type="dxa"/>
          </w:tcPr>
          <w:p w14:paraId="31D9E653" w14:textId="77777777" w:rsidR="007026E1" w:rsidRDefault="007026E1" w:rsidP="007026E1">
            <w:pPr>
              <w:tabs>
                <w:tab w:val="left" w:pos="181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579" w:type="dxa"/>
            <w:vAlign w:val="center"/>
          </w:tcPr>
          <w:p w14:paraId="17E9F3FD" w14:textId="2218F0C8" w:rsidR="007026E1" w:rsidRDefault="007026E1" w:rsidP="007026E1">
            <w:pPr>
              <w:tabs>
                <w:tab w:val="left" w:pos="181"/>
              </w:tabs>
              <w:jc w:val="center"/>
            </w:pPr>
            <w:sdt>
              <w:sdtPr>
                <w:rPr>
                  <w:rFonts w:ascii="Calibri" w:hAnsi="Calibri" w:cs="Calibri"/>
                </w:rPr>
                <w:id w:val="-31417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026E1" w14:paraId="0A151200" w14:textId="77777777" w:rsidTr="00A75391">
        <w:trPr>
          <w:trHeight w:val="1664"/>
        </w:trPr>
        <w:tc>
          <w:tcPr>
            <w:tcW w:w="1579" w:type="dxa"/>
          </w:tcPr>
          <w:p w14:paraId="4E2DBEB3" w14:textId="77777777" w:rsidR="007026E1" w:rsidRPr="00031A07" w:rsidRDefault="007026E1" w:rsidP="007026E1">
            <w:pPr>
              <w:tabs>
                <w:tab w:val="left" w:pos="181"/>
              </w:tabs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7515" w:type="dxa"/>
            <w:gridSpan w:val="4"/>
            <w:vAlign w:val="center"/>
          </w:tcPr>
          <w:p w14:paraId="52E65D9C" w14:textId="0F65C470" w:rsidR="007026E1" w:rsidRPr="00031A07" w:rsidRDefault="007026E1" w:rsidP="007026E1">
            <w:pPr>
              <w:tabs>
                <w:tab w:val="left" w:pos="181"/>
              </w:tabs>
              <w:rPr>
                <w:sz w:val="17"/>
                <w:szCs w:val="17"/>
              </w:rPr>
            </w:pPr>
            <w:r w:rsidRPr="00031A07">
              <w:rPr>
                <w:sz w:val="17"/>
                <w:szCs w:val="17"/>
                <w:vertAlign w:val="superscript"/>
              </w:rPr>
              <w:t>1</w:t>
            </w:r>
            <w:r w:rsidRPr="00031A07">
              <w:rPr>
                <w:sz w:val="17"/>
                <w:szCs w:val="17"/>
              </w:rPr>
              <w:t xml:space="preserve"> License types that are not required to complete CME: Limited license initial and renewal, Inactive license renewal, Temporary Substitute Physician license, Temporary CME participation license.</w:t>
            </w:r>
          </w:p>
          <w:p w14:paraId="6AA20562" w14:textId="26838A46" w:rsidR="007026E1" w:rsidRPr="00031A07" w:rsidRDefault="007026E1" w:rsidP="007026E1">
            <w:pPr>
              <w:tabs>
                <w:tab w:val="left" w:pos="181"/>
              </w:tabs>
              <w:rPr>
                <w:sz w:val="17"/>
                <w:szCs w:val="17"/>
              </w:rPr>
            </w:pPr>
            <w:r w:rsidRPr="00031A07">
              <w:rPr>
                <w:sz w:val="17"/>
                <w:szCs w:val="17"/>
                <w:vertAlign w:val="superscript"/>
              </w:rPr>
              <w:t>2</w:t>
            </w:r>
            <w:r w:rsidRPr="00031A07">
              <w:rPr>
                <w:sz w:val="17"/>
                <w:szCs w:val="17"/>
              </w:rPr>
              <w:t xml:space="preserve"> Initial licensure applicants for administrative licenses must apply as full licensure applicants and request change of category to administrative. </w:t>
            </w:r>
            <w:r w:rsidRPr="00031A07">
              <w:rPr>
                <w:sz w:val="17"/>
                <w:szCs w:val="17"/>
                <w:vertAlign w:val="superscript"/>
              </w:rPr>
              <w:t>3</w:t>
            </w:r>
            <w:r w:rsidRPr="00031A07">
              <w:rPr>
                <w:sz w:val="17"/>
                <w:szCs w:val="17"/>
              </w:rPr>
              <w:t>Proficiency in Electronic Health Records is not required for physicians who have demonstrated proficiency, received a waiver, or are exempt in accordance with 243 CMR 2.02(f) or 2.06(2)(d).</w:t>
            </w:r>
          </w:p>
          <w:p w14:paraId="64B56707" w14:textId="1F5C65DD" w:rsidR="007026E1" w:rsidRPr="00031A07" w:rsidRDefault="007026E1" w:rsidP="007026E1">
            <w:pPr>
              <w:tabs>
                <w:tab w:val="left" w:pos="181"/>
              </w:tabs>
              <w:rPr>
                <w:sz w:val="17"/>
                <w:szCs w:val="17"/>
              </w:rPr>
            </w:pPr>
            <w:r w:rsidRPr="00031A07">
              <w:rPr>
                <w:sz w:val="17"/>
                <w:szCs w:val="17"/>
                <w:vertAlign w:val="superscript"/>
              </w:rPr>
              <w:t>4</w:t>
            </w:r>
            <w:r w:rsidRPr="00031A07">
              <w:rPr>
                <w:sz w:val="17"/>
                <w:szCs w:val="17"/>
              </w:rPr>
              <w:t xml:space="preserve"> Up to 7 credits in physician wellness or physician burnout may be applied towards the Risk Management requirement.</w:t>
            </w:r>
          </w:p>
          <w:p w14:paraId="09CC9FA4" w14:textId="1E3E5D00" w:rsidR="007026E1" w:rsidRDefault="007026E1" w:rsidP="007026E1">
            <w:pPr>
              <w:tabs>
                <w:tab w:val="left" w:pos="181"/>
              </w:tabs>
            </w:pPr>
            <w:r w:rsidRPr="00031A07">
              <w:rPr>
                <w:sz w:val="17"/>
                <w:szCs w:val="17"/>
                <w:vertAlign w:val="superscript"/>
              </w:rPr>
              <w:t>5</w:t>
            </w:r>
            <w:r w:rsidRPr="00031A07">
              <w:rPr>
                <w:sz w:val="17"/>
                <w:szCs w:val="17"/>
              </w:rPr>
              <w:t xml:space="preserve"> Credit amounts for </w:t>
            </w:r>
            <w:proofErr w:type="gramStart"/>
            <w:r w:rsidRPr="00031A07">
              <w:rPr>
                <w:sz w:val="17"/>
                <w:szCs w:val="17"/>
              </w:rPr>
              <w:t>Category</w:t>
            </w:r>
            <w:proofErr w:type="gramEnd"/>
            <w:r w:rsidRPr="00031A07">
              <w:rPr>
                <w:sz w:val="17"/>
                <w:szCs w:val="17"/>
              </w:rPr>
              <w:t xml:space="preserve"> 1 or 2 are as set forth in Policy-17-05 Continuing Medical Education (CME) Pilot Program</w:t>
            </w:r>
          </w:p>
        </w:tc>
      </w:tr>
    </w:tbl>
    <w:p w14:paraId="6AB9BA5F" w14:textId="77777777" w:rsidR="00EA64B8" w:rsidRDefault="00EA64B8"/>
    <w:sectPr w:rsidR="00EA64B8" w:rsidSect="00C46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EC"/>
    <w:rsid w:val="007026E1"/>
    <w:rsid w:val="00C46DB4"/>
    <w:rsid w:val="00CB5BEC"/>
    <w:rsid w:val="00E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EFC6"/>
  <w15:chartTrackingRefBased/>
  <w15:docId w15:val="{EFCC2B90-2530-41FA-8C92-66C1D11B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Welch</dc:creator>
  <cp:keywords/>
  <dc:description/>
  <cp:lastModifiedBy>Gelardi, Mary</cp:lastModifiedBy>
  <cp:revision>2</cp:revision>
  <dcterms:created xsi:type="dcterms:W3CDTF">2022-08-17T20:20:00Z</dcterms:created>
  <dcterms:modified xsi:type="dcterms:W3CDTF">2022-08-17T20:20:00Z</dcterms:modified>
</cp:coreProperties>
</file>