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BDAB" w14:textId="574DB3D1" w:rsidR="00E429C7" w:rsidRPr="00E429C7" w:rsidRDefault="00E429C7" w:rsidP="00E429C7">
      <w:pPr>
        <w:jc w:val="center"/>
        <w:rPr>
          <w:b/>
          <w:bCs/>
          <w:noProof/>
          <w:color w:val="003A96"/>
          <w:sz w:val="12"/>
          <w:szCs w:val="12"/>
          <w:u w:val="single"/>
        </w:rPr>
      </w:pPr>
      <w:r w:rsidRPr="00E429C7">
        <w:rPr>
          <w:b/>
          <w:bCs/>
          <w:noProof/>
          <w:color w:val="003A96"/>
          <w:sz w:val="24"/>
          <w:szCs w:val="24"/>
          <w:u w:val="single"/>
        </w:rPr>
        <w:t>Risk Management Request Form</w:t>
      </w:r>
      <w:r>
        <w:rPr>
          <w:b/>
          <w:bCs/>
          <w:noProof/>
          <w:color w:val="003A96"/>
          <w:sz w:val="24"/>
          <w:szCs w:val="24"/>
          <w:u w:val="single"/>
        </w:rPr>
        <w:br/>
      </w:r>
    </w:p>
    <w:tbl>
      <w:tblPr>
        <w:tblStyle w:val="TableGrid"/>
        <w:tblpPr w:leftFromText="180" w:rightFromText="180" w:vertAnchor="text" w:horzAnchor="margin" w:tblpY="155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E429C7" w14:paraId="4FE01B36" w14:textId="77777777" w:rsidTr="00E429C7">
        <w:tc>
          <w:tcPr>
            <w:tcW w:w="9350" w:type="dxa"/>
            <w:gridSpan w:val="2"/>
          </w:tcPr>
          <w:p w14:paraId="6898FAF3" w14:textId="77777777" w:rsidR="00E429C7" w:rsidRPr="00F9229A" w:rsidRDefault="00E429C7" w:rsidP="00E429C7">
            <w:pPr>
              <w:rPr>
                <w:rFonts w:cstheme="minorHAnsi"/>
                <w:b/>
                <w:bCs/>
                <w:noProof/>
              </w:rPr>
            </w:pPr>
            <w:r w:rsidRPr="00F9229A">
              <w:rPr>
                <w:b/>
                <w:bCs/>
                <w:noProof/>
                <w:color w:val="009CA6"/>
              </w:rPr>
              <w:t>Session Learning Objectives:</w:t>
            </w:r>
          </w:p>
        </w:tc>
      </w:tr>
      <w:tr w:rsidR="00E429C7" w14:paraId="79D467F9" w14:textId="77777777" w:rsidTr="00E429C7">
        <w:tc>
          <w:tcPr>
            <w:tcW w:w="535" w:type="dxa"/>
          </w:tcPr>
          <w:p w14:paraId="6380C5C6" w14:textId="77777777" w:rsidR="00E429C7" w:rsidRPr="00F9229A" w:rsidRDefault="00E429C7" w:rsidP="00E429C7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r w:rsidRPr="00F9229A">
              <w:rPr>
                <w:rFonts w:cstheme="minorHAnsi"/>
                <w:noProof/>
                <w:color w:val="000000" w:themeColor="text1"/>
              </w:rPr>
              <w:t>1.</w:t>
            </w:r>
          </w:p>
        </w:tc>
        <w:tc>
          <w:tcPr>
            <w:tcW w:w="8815" w:type="dxa"/>
          </w:tcPr>
          <w:p w14:paraId="5E3030FE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  <w:tr w:rsidR="00E429C7" w14:paraId="21C97B8D" w14:textId="77777777" w:rsidTr="00E429C7">
        <w:tc>
          <w:tcPr>
            <w:tcW w:w="535" w:type="dxa"/>
          </w:tcPr>
          <w:p w14:paraId="64A5A448" w14:textId="77777777" w:rsidR="00E429C7" w:rsidRPr="00F9229A" w:rsidRDefault="00E429C7" w:rsidP="00E429C7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r w:rsidRPr="00F9229A">
              <w:rPr>
                <w:rFonts w:cstheme="minorHAnsi"/>
                <w:noProof/>
                <w:color w:val="000000" w:themeColor="text1"/>
              </w:rPr>
              <w:t>2.</w:t>
            </w:r>
          </w:p>
        </w:tc>
        <w:tc>
          <w:tcPr>
            <w:tcW w:w="8815" w:type="dxa"/>
          </w:tcPr>
          <w:p w14:paraId="419C3C7E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  <w:tr w:rsidR="00E429C7" w14:paraId="00781906" w14:textId="77777777" w:rsidTr="00E429C7">
        <w:tc>
          <w:tcPr>
            <w:tcW w:w="535" w:type="dxa"/>
          </w:tcPr>
          <w:p w14:paraId="49959887" w14:textId="77777777" w:rsidR="00E429C7" w:rsidRPr="00F9229A" w:rsidRDefault="00E429C7" w:rsidP="00E429C7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r w:rsidRPr="00F9229A">
              <w:rPr>
                <w:rFonts w:cstheme="minorHAnsi"/>
                <w:noProof/>
                <w:color w:val="000000" w:themeColor="text1"/>
              </w:rPr>
              <w:t>3.</w:t>
            </w:r>
          </w:p>
        </w:tc>
        <w:tc>
          <w:tcPr>
            <w:tcW w:w="8815" w:type="dxa"/>
          </w:tcPr>
          <w:p w14:paraId="0B0957C0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E429C7" w14:paraId="35563413" w14:textId="77777777" w:rsidTr="00E429C7">
        <w:tc>
          <w:tcPr>
            <w:tcW w:w="2335" w:type="dxa"/>
          </w:tcPr>
          <w:p w14:paraId="627CC878" w14:textId="77777777" w:rsidR="00E429C7" w:rsidRPr="00F9229A" w:rsidRDefault="00E429C7" w:rsidP="00E429C7">
            <w:pPr>
              <w:rPr>
                <w:rFonts w:cstheme="minorHAnsi"/>
                <w:b/>
                <w:bCs/>
                <w:noProof/>
                <w:color w:val="009CA6"/>
              </w:rPr>
            </w:pPr>
            <w:r w:rsidRPr="00F9229A">
              <w:rPr>
                <w:b/>
                <w:bCs/>
                <w:noProof/>
                <w:color w:val="009CA6"/>
              </w:rPr>
              <w:t>Series Title:</w:t>
            </w:r>
          </w:p>
        </w:tc>
        <w:tc>
          <w:tcPr>
            <w:tcW w:w="7015" w:type="dxa"/>
          </w:tcPr>
          <w:p w14:paraId="6823829A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  <w:tr w:rsidR="00E429C7" w14:paraId="037F6BC9" w14:textId="77777777" w:rsidTr="00E429C7">
        <w:tc>
          <w:tcPr>
            <w:tcW w:w="2335" w:type="dxa"/>
          </w:tcPr>
          <w:p w14:paraId="4718867B" w14:textId="77777777" w:rsidR="00E429C7" w:rsidRPr="00F9229A" w:rsidRDefault="00E429C7" w:rsidP="00E429C7">
            <w:pPr>
              <w:rPr>
                <w:rFonts w:cstheme="minorHAnsi"/>
                <w:b/>
                <w:bCs/>
                <w:noProof/>
                <w:color w:val="009CA6"/>
              </w:rPr>
            </w:pPr>
            <w:r w:rsidRPr="00F9229A">
              <w:rPr>
                <w:b/>
                <w:bCs/>
                <w:noProof/>
                <w:color w:val="009CA6"/>
              </w:rPr>
              <w:t>Session Date:</w:t>
            </w:r>
          </w:p>
        </w:tc>
        <w:tc>
          <w:tcPr>
            <w:tcW w:w="7015" w:type="dxa"/>
          </w:tcPr>
          <w:p w14:paraId="12EC04C3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  <w:tr w:rsidR="00E429C7" w14:paraId="12485435" w14:textId="77777777" w:rsidTr="00E429C7">
        <w:tc>
          <w:tcPr>
            <w:tcW w:w="2335" w:type="dxa"/>
          </w:tcPr>
          <w:p w14:paraId="4A56A14F" w14:textId="77777777" w:rsidR="00E429C7" w:rsidRPr="00F9229A" w:rsidRDefault="00E429C7" w:rsidP="00E429C7">
            <w:pPr>
              <w:rPr>
                <w:rFonts w:cstheme="minorHAnsi"/>
                <w:b/>
                <w:bCs/>
                <w:noProof/>
                <w:color w:val="009CA6"/>
              </w:rPr>
            </w:pPr>
            <w:r w:rsidRPr="00F9229A">
              <w:rPr>
                <w:b/>
                <w:bCs/>
                <w:noProof/>
                <w:color w:val="009CA6"/>
              </w:rPr>
              <w:t>Session Topic:</w:t>
            </w:r>
          </w:p>
        </w:tc>
        <w:tc>
          <w:tcPr>
            <w:tcW w:w="7015" w:type="dxa"/>
          </w:tcPr>
          <w:p w14:paraId="787742BD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  <w:tr w:rsidR="00E429C7" w14:paraId="154781AE" w14:textId="77777777" w:rsidTr="00E429C7">
        <w:tc>
          <w:tcPr>
            <w:tcW w:w="2335" w:type="dxa"/>
          </w:tcPr>
          <w:p w14:paraId="7BD33F5B" w14:textId="77777777" w:rsidR="00E429C7" w:rsidRPr="00F9229A" w:rsidRDefault="00E429C7" w:rsidP="00E429C7">
            <w:pPr>
              <w:rPr>
                <w:rFonts w:cstheme="minorHAnsi"/>
                <w:b/>
                <w:bCs/>
                <w:noProof/>
                <w:color w:val="009CA6"/>
              </w:rPr>
            </w:pPr>
            <w:r w:rsidRPr="00F9229A">
              <w:rPr>
                <w:b/>
                <w:bCs/>
                <w:noProof/>
                <w:color w:val="009CA6"/>
              </w:rPr>
              <w:t>Session Speaker(s):</w:t>
            </w:r>
          </w:p>
        </w:tc>
        <w:tc>
          <w:tcPr>
            <w:tcW w:w="7015" w:type="dxa"/>
          </w:tcPr>
          <w:p w14:paraId="7232788C" w14:textId="77777777" w:rsidR="00E429C7" w:rsidRDefault="00E429C7" w:rsidP="00E429C7">
            <w:pPr>
              <w:rPr>
                <w:rFonts w:cstheme="minorHAnsi"/>
                <w:noProof/>
              </w:rPr>
            </w:pPr>
          </w:p>
        </w:tc>
      </w:tr>
    </w:tbl>
    <w:p w14:paraId="74BD0C22" w14:textId="77777777" w:rsidR="00E429C7" w:rsidRPr="00E429C7" w:rsidRDefault="00E429C7">
      <w:pPr>
        <w:rPr>
          <w:rFonts w:cstheme="minorHAnsi"/>
          <w:b/>
          <w:bCs/>
          <w:color w:val="009CA6"/>
          <w:sz w:val="16"/>
          <w:szCs w:val="16"/>
          <w:u w:val="single"/>
        </w:rPr>
      </w:pPr>
    </w:p>
    <w:p w14:paraId="074B6D7F" w14:textId="77777777" w:rsidR="00E429C7" w:rsidRPr="00E429C7" w:rsidRDefault="00E429C7">
      <w:pPr>
        <w:rPr>
          <w:rFonts w:cstheme="minorHAnsi"/>
          <w:b/>
          <w:bCs/>
          <w:color w:val="009CA6"/>
          <w:sz w:val="12"/>
          <w:szCs w:val="12"/>
          <w:u w:val="single"/>
        </w:rPr>
      </w:pPr>
    </w:p>
    <w:p w14:paraId="736D47CC" w14:textId="5F743EFC" w:rsidR="008467A6" w:rsidRPr="00922E92" w:rsidRDefault="00F9229A">
      <w:pPr>
        <w:rPr>
          <w:i/>
          <w:iCs/>
        </w:rPr>
      </w:pPr>
      <w:r w:rsidRPr="00F9229A">
        <w:rPr>
          <w:rFonts w:cstheme="minorHAnsi"/>
          <w:b/>
          <w:bCs/>
          <w:color w:val="009CA6"/>
          <w:u w:val="single"/>
        </w:rPr>
        <w:t>Risk Management Topics</w:t>
      </w:r>
      <w:r w:rsidR="00E429C7">
        <w:rPr>
          <w:rFonts w:cstheme="minorHAnsi"/>
          <w:b/>
          <w:bCs/>
          <w:color w:val="009CA6"/>
          <w:u w:val="single"/>
        </w:rPr>
        <w:br/>
      </w:r>
      <w:r w:rsidR="008467A6" w:rsidRPr="007F2548">
        <w:rPr>
          <w:rFonts w:cstheme="minorHAnsi"/>
        </w:rPr>
        <w:t>Risk management study can</w:t>
      </w:r>
      <w:r w:rsidR="00A06741">
        <w:rPr>
          <w:rFonts w:cstheme="minorHAnsi"/>
        </w:rPr>
        <w:t xml:space="preserve"> include instruction on</w:t>
      </w:r>
      <w:r w:rsidR="008467A6" w:rsidRPr="007F2548">
        <w:rPr>
          <w:rFonts w:cstheme="minorHAnsi"/>
        </w:rPr>
        <w:t xml:space="preserve"> </w:t>
      </w:r>
      <w:r w:rsidR="00A06741">
        <w:rPr>
          <w:rFonts w:cstheme="minorHAnsi"/>
        </w:rPr>
        <w:t>any of the items in the list below</w:t>
      </w:r>
      <w:r w:rsidR="008467A6" w:rsidRPr="007F2548">
        <w:rPr>
          <w:rFonts w:cstheme="minorHAnsi"/>
        </w:rPr>
        <w:t>.</w:t>
      </w:r>
      <w:r w:rsidR="00922E92">
        <w:rPr>
          <w:i/>
          <w:iCs/>
        </w:rPr>
        <w:t> </w:t>
      </w:r>
      <w:r w:rsidR="008467A6">
        <w:rPr>
          <w:rFonts w:cstheme="minorHAnsi"/>
        </w:rPr>
        <w:t>Please check-off, from the below list, which topic will be discussed during this session:</w:t>
      </w:r>
    </w:p>
    <w:p w14:paraId="024E9C26" w14:textId="3A2F0455" w:rsidR="008467A6" w:rsidRPr="008467A6" w:rsidRDefault="000B1E3C" w:rsidP="00F9229A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2784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67A6" w:rsidRPr="008467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467A6" w:rsidRPr="008467A6">
        <w:rPr>
          <w:rFonts w:asciiTheme="minorHAnsi" w:hAnsiTheme="minorHAnsi" w:cstheme="minorHAnsi"/>
          <w:noProof/>
          <w:sz w:val="22"/>
          <w:szCs w:val="22"/>
        </w:rPr>
        <w:t>Medical Ethics</w:t>
      </w:r>
    </w:p>
    <w:p w14:paraId="77A0D2B8" w14:textId="281FA8A5" w:rsidR="008467A6" w:rsidRDefault="000B1E3C" w:rsidP="00F9229A">
      <w:pPr>
        <w:ind w:left="720"/>
        <w:rPr>
          <w:rFonts w:cstheme="minorHAnsi"/>
          <w:noProof/>
        </w:rPr>
      </w:pPr>
      <w:sdt>
        <w:sdtPr>
          <w:rPr>
            <w:rFonts w:cstheme="minorHAnsi"/>
          </w:rPr>
          <w:id w:val="4327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 xml:space="preserve">Medical </w:t>
      </w:r>
      <w:r w:rsidR="00A06741">
        <w:rPr>
          <w:rFonts w:cstheme="minorHAnsi"/>
          <w:noProof/>
        </w:rPr>
        <w:t>L</w:t>
      </w:r>
      <w:r w:rsidR="008467A6" w:rsidRPr="008467A6">
        <w:rPr>
          <w:rFonts w:cstheme="minorHAnsi"/>
          <w:noProof/>
        </w:rPr>
        <w:t xml:space="preserve">egal </w:t>
      </w:r>
      <w:r w:rsidR="00A06741">
        <w:rPr>
          <w:rFonts w:cstheme="minorHAnsi"/>
          <w:noProof/>
        </w:rPr>
        <w:t>I</w:t>
      </w:r>
      <w:r w:rsidR="008467A6" w:rsidRPr="008467A6">
        <w:rPr>
          <w:rFonts w:cstheme="minorHAnsi"/>
          <w:noProof/>
        </w:rPr>
        <w:t>ssues</w:t>
      </w:r>
      <w:r w:rsidR="00A06741">
        <w:rPr>
          <w:rFonts w:cstheme="minorHAnsi"/>
          <w:noProof/>
        </w:rPr>
        <w:t>/Malpractice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-19530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>Quality Assurance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-3659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>Improving Patient Relations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-13322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 xml:space="preserve">Review/Improvement of </w:t>
      </w:r>
      <w:r w:rsidR="008467A6">
        <w:rPr>
          <w:rFonts w:cstheme="minorHAnsi"/>
          <w:noProof/>
        </w:rPr>
        <w:t>N</w:t>
      </w:r>
      <w:r w:rsidR="008467A6" w:rsidRPr="008467A6">
        <w:rPr>
          <w:rFonts w:cstheme="minorHAnsi"/>
          <w:noProof/>
        </w:rPr>
        <w:t>on-</w:t>
      </w:r>
      <w:r w:rsidR="008467A6">
        <w:rPr>
          <w:rFonts w:cstheme="minorHAnsi"/>
          <w:noProof/>
        </w:rPr>
        <w:t>E</w:t>
      </w:r>
      <w:r w:rsidR="008467A6" w:rsidRPr="008467A6">
        <w:rPr>
          <w:rFonts w:cstheme="minorHAnsi"/>
          <w:noProof/>
        </w:rPr>
        <w:t xml:space="preserve">conomic </w:t>
      </w:r>
      <w:r w:rsidR="008467A6">
        <w:rPr>
          <w:rFonts w:cstheme="minorHAnsi"/>
          <w:noProof/>
        </w:rPr>
        <w:t>A</w:t>
      </w:r>
      <w:r w:rsidR="008467A6" w:rsidRPr="008467A6">
        <w:rPr>
          <w:rFonts w:cstheme="minorHAnsi"/>
          <w:noProof/>
        </w:rPr>
        <w:t xml:space="preserve">spects of </w:t>
      </w:r>
      <w:r w:rsidR="008467A6">
        <w:rPr>
          <w:rFonts w:cstheme="minorHAnsi"/>
          <w:noProof/>
        </w:rPr>
        <w:t>P</w:t>
      </w:r>
      <w:r w:rsidR="008467A6" w:rsidRPr="008467A6">
        <w:rPr>
          <w:rFonts w:cstheme="minorHAnsi"/>
          <w:noProof/>
        </w:rPr>
        <w:t xml:space="preserve">ractice </w:t>
      </w:r>
      <w:r w:rsidR="008467A6">
        <w:rPr>
          <w:rFonts w:cstheme="minorHAnsi"/>
          <w:noProof/>
        </w:rPr>
        <w:t>M</w:t>
      </w:r>
      <w:r w:rsidR="008467A6" w:rsidRPr="008467A6">
        <w:rPr>
          <w:rFonts w:cstheme="minorHAnsi"/>
          <w:noProof/>
        </w:rPr>
        <w:t>anagement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158610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>Implicit Bias in Healthcare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3667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>End of Life Care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-171163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 w:rsidRPr="008467A6">
        <w:rPr>
          <w:rFonts w:cstheme="minorHAnsi"/>
          <w:noProof/>
        </w:rPr>
        <w:t>Opioid Education and Life Management</w:t>
      </w:r>
      <w:r w:rsidR="008467A6">
        <w:rPr>
          <w:rFonts w:cstheme="minorHAnsi"/>
          <w:noProof/>
        </w:rPr>
        <w:br/>
      </w:r>
      <w:sdt>
        <w:sdtPr>
          <w:rPr>
            <w:rFonts w:cstheme="minorHAnsi"/>
          </w:rPr>
          <w:id w:val="-147051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A6" w:rsidRPr="008467A6">
            <w:rPr>
              <w:rFonts w:ascii="Segoe UI Symbol" w:eastAsia="MS Gothic" w:hAnsi="Segoe UI Symbol" w:cs="Segoe UI Symbol"/>
            </w:rPr>
            <w:t>☐</w:t>
          </w:r>
        </w:sdtContent>
      </w:sdt>
      <w:r w:rsidR="008467A6" w:rsidRPr="008467A6">
        <w:rPr>
          <w:rFonts w:cstheme="minorHAnsi"/>
        </w:rPr>
        <w:t xml:space="preserve"> </w:t>
      </w:r>
      <w:r w:rsidR="008467A6">
        <w:rPr>
          <w:rFonts w:cstheme="minorHAnsi"/>
          <w:noProof/>
        </w:rPr>
        <w:t xml:space="preserve">Physician Burnout </w:t>
      </w:r>
    </w:p>
    <w:p w14:paraId="19EC44D8" w14:textId="0D5CDE68" w:rsidR="00F9229A" w:rsidRDefault="00F9229A" w:rsidP="008467A6">
      <w:pPr>
        <w:rPr>
          <w:rFonts w:cstheme="minorHAnsi"/>
          <w:noProof/>
        </w:rPr>
      </w:pPr>
    </w:p>
    <w:p w14:paraId="7FC8C495" w14:textId="55B84A37" w:rsidR="00F9229A" w:rsidRPr="00F9229A" w:rsidRDefault="00F9229A" w:rsidP="008467A6">
      <w:pPr>
        <w:rPr>
          <w:rFonts w:cstheme="minorHAnsi"/>
          <w:b/>
          <w:bCs/>
          <w:color w:val="009CA6"/>
          <w:u w:val="single"/>
        </w:rPr>
      </w:pPr>
      <w:r w:rsidRPr="00F9229A">
        <w:rPr>
          <w:rFonts w:cstheme="minorHAnsi"/>
          <w:b/>
          <w:bCs/>
          <w:color w:val="009CA6"/>
          <w:u w:val="single"/>
        </w:rPr>
        <w:t xml:space="preserve">Risk Management </w:t>
      </w:r>
      <w:r>
        <w:rPr>
          <w:rFonts w:cstheme="minorHAnsi"/>
          <w:b/>
          <w:bCs/>
          <w:color w:val="009CA6"/>
          <w:u w:val="single"/>
        </w:rPr>
        <w:t>Rationale: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9229A" w14:paraId="177039D6" w14:textId="77777777" w:rsidTr="00F9229A">
        <w:trPr>
          <w:trHeight w:val="359"/>
        </w:trPr>
        <w:tc>
          <w:tcPr>
            <w:tcW w:w="9350" w:type="dxa"/>
            <w:vAlign w:val="center"/>
          </w:tcPr>
          <w:p w14:paraId="08B15E02" w14:textId="303DFCA2" w:rsidR="00F9229A" w:rsidRPr="00F9229A" w:rsidRDefault="00F9229A" w:rsidP="00A7124D">
            <w:pPr>
              <w:rPr>
                <w:rFonts w:cstheme="minorHAnsi"/>
                <w:b/>
                <w:bCs/>
                <w:noProof/>
              </w:rPr>
            </w:pPr>
            <w:r w:rsidRPr="00F9229A">
              <w:rPr>
                <w:rFonts w:cstheme="minorHAnsi"/>
                <w:b/>
                <w:bCs/>
                <w:noProof/>
              </w:rPr>
              <w:t>Please explain why this session meets the criteria for Risk Management in Massachusetts:</w:t>
            </w:r>
          </w:p>
        </w:tc>
      </w:tr>
      <w:tr w:rsidR="00F9229A" w14:paraId="69F34F0E" w14:textId="77777777" w:rsidTr="00F9229A">
        <w:tc>
          <w:tcPr>
            <w:tcW w:w="9350" w:type="dxa"/>
          </w:tcPr>
          <w:p w14:paraId="1CEB589B" w14:textId="77777777" w:rsidR="00F9229A" w:rsidRDefault="00F9229A" w:rsidP="00A7124D">
            <w:pPr>
              <w:rPr>
                <w:rFonts w:cstheme="minorHAnsi"/>
                <w:noProof/>
              </w:rPr>
            </w:pPr>
          </w:p>
          <w:p w14:paraId="6D45123A" w14:textId="77777777" w:rsidR="00F9229A" w:rsidRDefault="00F9229A" w:rsidP="00A7124D">
            <w:pPr>
              <w:rPr>
                <w:rFonts w:cstheme="minorHAnsi"/>
                <w:noProof/>
              </w:rPr>
            </w:pPr>
          </w:p>
          <w:p w14:paraId="357EF4AD" w14:textId="77777777" w:rsidR="00F9229A" w:rsidRDefault="00F9229A" w:rsidP="00A7124D">
            <w:pPr>
              <w:rPr>
                <w:rFonts w:cstheme="minorHAnsi"/>
                <w:noProof/>
              </w:rPr>
            </w:pPr>
          </w:p>
          <w:p w14:paraId="0DC96342" w14:textId="77777777" w:rsidR="00F9229A" w:rsidRDefault="00F9229A" w:rsidP="00A7124D">
            <w:pPr>
              <w:rPr>
                <w:rFonts w:cstheme="minorHAnsi"/>
                <w:noProof/>
              </w:rPr>
            </w:pPr>
          </w:p>
          <w:p w14:paraId="2B856338" w14:textId="563CB069" w:rsidR="00F9229A" w:rsidRDefault="00F9229A" w:rsidP="00A7124D">
            <w:pPr>
              <w:rPr>
                <w:rFonts w:cstheme="minorHAnsi"/>
                <w:noProof/>
              </w:rPr>
            </w:pPr>
          </w:p>
          <w:p w14:paraId="7148877B" w14:textId="77777777" w:rsidR="00EF0E63" w:rsidRDefault="00EF0E63" w:rsidP="00A7124D">
            <w:pPr>
              <w:rPr>
                <w:rFonts w:cstheme="minorHAnsi"/>
                <w:noProof/>
              </w:rPr>
            </w:pPr>
          </w:p>
          <w:p w14:paraId="476788AE" w14:textId="01F19247" w:rsidR="00F9229A" w:rsidRDefault="00F9229A" w:rsidP="00A7124D">
            <w:pPr>
              <w:rPr>
                <w:rFonts w:cstheme="minorHAnsi"/>
                <w:noProof/>
              </w:rPr>
            </w:pPr>
          </w:p>
        </w:tc>
      </w:tr>
    </w:tbl>
    <w:p w14:paraId="70B693B1" w14:textId="44A05AA0" w:rsidR="00EF0E63" w:rsidRPr="008467A6" w:rsidRDefault="00EF0E63" w:rsidP="008467A6">
      <w:pPr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F49BA" wp14:editId="158EFF2A">
                <wp:simplePos x="0" y="0"/>
                <wp:positionH relativeFrom="column">
                  <wp:posOffset>4464050</wp:posOffset>
                </wp:positionH>
                <wp:positionV relativeFrom="paragraph">
                  <wp:posOffset>713740</wp:posOffset>
                </wp:positionV>
                <wp:extent cx="1111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D2C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56.2pt" to="43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" strokecolor="#a5a5a5 [3206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EB51" wp14:editId="7FE72F79">
                <wp:simplePos x="0" y="0"/>
                <wp:positionH relativeFrom="column">
                  <wp:posOffset>1616710</wp:posOffset>
                </wp:positionH>
                <wp:positionV relativeFrom="paragraph">
                  <wp:posOffset>713740</wp:posOffset>
                </wp:positionV>
                <wp:extent cx="2286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AB48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56.2pt" to="307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" strokecolor="#a5a5a5 [3206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w:br/>
      </w:r>
      <w:r>
        <w:rPr>
          <w:rFonts w:cstheme="minorHAnsi"/>
          <w:noProof/>
        </w:rPr>
        <w:br/>
      </w:r>
      <w:r>
        <w:rPr>
          <w:rFonts w:cstheme="minorHAnsi"/>
          <w:noProof/>
        </w:rPr>
        <w:br/>
        <w:t xml:space="preserve">Course Director’s Signature:                                                                    </w:t>
      </w:r>
      <w:r>
        <w:rPr>
          <w:rFonts w:cstheme="minorHAnsi"/>
          <w:noProof/>
        </w:rPr>
        <w:tab/>
        <w:t>Date:</w:t>
      </w:r>
      <w:r w:rsidRPr="00EF0E63">
        <w:rPr>
          <w:rFonts w:cstheme="minorHAnsi"/>
          <w:noProof/>
        </w:rPr>
        <w:t xml:space="preserve"> </w:t>
      </w:r>
    </w:p>
    <w:sectPr w:rsidR="00EF0E63" w:rsidRPr="008467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8ED" w14:textId="77777777" w:rsidR="00834531" w:rsidRDefault="00834531" w:rsidP="008467A6">
      <w:pPr>
        <w:spacing w:after="0" w:line="240" w:lineRule="auto"/>
      </w:pPr>
      <w:r>
        <w:separator/>
      </w:r>
    </w:p>
  </w:endnote>
  <w:endnote w:type="continuationSeparator" w:id="0">
    <w:p w14:paraId="32F79BFC" w14:textId="77777777" w:rsidR="00834531" w:rsidRDefault="00834531" w:rsidP="0084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C2BA" w14:textId="77777777" w:rsidR="00834531" w:rsidRDefault="00834531" w:rsidP="008467A6">
      <w:pPr>
        <w:spacing w:after="0" w:line="240" w:lineRule="auto"/>
      </w:pPr>
      <w:r>
        <w:separator/>
      </w:r>
    </w:p>
  </w:footnote>
  <w:footnote w:type="continuationSeparator" w:id="0">
    <w:p w14:paraId="6BF1B97C" w14:textId="77777777" w:rsidR="00834531" w:rsidRDefault="00834531" w:rsidP="0084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1292" w14:textId="3D0433C1" w:rsidR="008467A6" w:rsidRDefault="008467A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9BC9C5E" wp14:editId="375B1BFB">
          <wp:simplePos x="0" y="0"/>
          <wp:positionH relativeFrom="page">
            <wp:posOffset>2646680</wp:posOffset>
          </wp:positionH>
          <wp:positionV relativeFrom="page">
            <wp:posOffset>325755</wp:posOffset>
          </wp:positionV>
          <wp:extent cx="2414270" cy="384175"/>
          <wp:effectExtent l="0" t="0" r="508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2A3"/>
    <w:multiLevelType w:val="hybridMultilevel"/>
    <w:tmpl w:val="CBA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63F7"/>
    <w:multiLevelType w:val="hybridMultilevel"/>
    <w:tmpl w:val="7D1E49C2"/>
    <w:lvl w:ilvl="0" w:tplc="EDCC3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F3"/>
    <w:rsid w:val="000B1E3C"/>
    <w:rsid w:val="00234BF7"/>
    <w:rsid w:val="004E2810"/>
    <w:rsid w:val="006B745F"/>
    <w:rsid w:val="006D0DF7"/>
    <w:rsid w:val="00834531"/>
    <w:rsid w:val="008467A6"/>
    <w:rsid w:val="00922E92"/>
    <w:rsid w:val="00A06741"/>
    <w:rsid w:val="00C52CF3"/>
    <w:rsid w:val="00E429C7"/>
    <w:rsid w:val="00EA64B8"/>
    <w:rsid w:val="00EF0E63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EFF80"/>
  <w15:chartTrackingRefBased/>
  <w15:docId w15:val="{3FF3ADAB-EE09-4923-ABAE-9F5D8A8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A6"/>
  </w:style>
  <w:style w:type="paragraph" w:styleId="Footer">
    <w:name w:val="footer"/>
    <w:basedOn w:val="Normal"/>
    <w:link w:val="FooterChar"/>
    <w:uiPriority w:val="99"/>
    <w:unhideWhenUsed/>
    <w:rsid w:val="008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A6"/>
  </w:style>
  <w:style w:type="paragraph" w:styleId="BodyText">
    <w:name w:val="Body Text"/>
    <w:basedOn w:val="Normal"/>
    <w:link w:val="BodyTextChar"/>
    <w:uiPriority w:val="99"/>
    <w:rsid w:val="008467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467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467A6"/>
    <w:pPr>
      <w:ind w:left="720"/>
      <w:contextualSpacing/>
    </w:pPr>
  </w:style>
  <w:style w:type="table" w:styleId="TableGrid">
    <w:name w:val="Table Grid"/>
    <w:basedOn w:val="TableNormal"/>
    <w:uiPriority w:val="39"/>
    <w:rsid w:val="00F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Emily Welch</cp:lastModifiedBy>
  <cp:revision>3</cp:revision>
  <dcterms:created xsi:type="dcterms:W3CDTF">2022-12-12T18:20:00Z</dcterms:created>
  <dcterms:modified xsi:type="dcterms:W3CDTF">2022-12-27T13:36:00Z</dcterms:modified>
</cp:coreProperties>
</file>